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12" w:rsidRPr="00312A12" w:rsidRDefault="00312A12" w:rsidP="00312A12">
      <w:pPr>
        <w:spacing w:after="100" w:afterAutospacing="1" w:line="240" w:lineRule="auto"/>
        <w:outlineLvl w:val="0"/>
        <w:rPr>
          <w:rFonts w:ascii="inherit" w:eastAsia="Times New Roman" w:hAnsi="inherit" w:cs="Arial"/>
          <w:b/>
          <w:bCs/>
          <w:color w:val="464A4E"/>
          <w:kern w:val="36"/>
          <w:sz w:val="78"/>
          <w:szCs w:val="78"/>
          <w:lang w:val="en"/>
        </w:rPr>
      </w:pPr>
      <w:bookmarkStart w:id="0" w:name="_GoBack"/>
      <w:bookmarkEnd w:id="0"/>
      <w:r w:rsidRPr="00312A12">
        <w:rPr>
          <w:rFonts w:ascii="inherit" w:eastAsia="Times New Roman" w:hAnsi="inherit" w:cs="Arial"/>
          <w:b/>
          <w:bCs/>
          <w:color w:val="464A4E"/>
          <w:kern w:val="36"/>
          <w:sz w:val="78"/>
          <w:szCs w:val="78"/>
          <w:lang w:val="en"/>
        </w:rPr>
        <w:t>Nellie Stone Johnson Scholarship</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The Nellie Stone Johnson Scholarship provides financial assistance to racial or ethnic minority union members and their families who wish to pursue postsecondary education at one of Minnesota's state universities or at one of the two-year community and technical colleges that are part of the Minnesota State. Those attending the University of Minnesota or a private school are not eligible for this scholarship.</w:t>
      </w:r>
    </w:p>
    <w:p w:rsidR="00312A12" w:rsidRPr="00312A12" w:rsidRDefault="00312A12" w:rsidP="00312A12">
      <w:pPr>
        <w:spacing w:after="100" w:afterAutospacing="1" w:line="240" w:lineRule="auto"/>
        <w:outlineLvl w:val="1"/>
        <w:rPr>
          <w:rFonts w:ascii="inherit" w:eastAsia="Times New Roman" w:hAnsi="inherit" w:cs="Arial"/>
          <w:color w:val="464A4E"/>
          <w:sz w:val="51"/>
          <w:szCs w:val="51"/>
          <w:lang w:val="en"/>
        </w:rPr>
      </w:pPr>
      <w:r w:rsidRPr="00312A12">
        <w:rPr>
          <w:rFonts w:ascii="inherit" w:eastAsia="Times New Roman" w:hAnsi="inherit" w:cs="Arial"/>
          <w:color w:val="464A4E"/>
          <w:sz w:val="51"/>
          <w:szCs w:val="51"/>
          <w:lang w:val="en"/>
        </w:rPr>
        <w:t>Labor and education: Partners for the future</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 xml:space="preserve">Nellie Stone Johnson was a labor union activist with a long and distinguished record of public service in support of the advancement of minority concerns, the rights of workers and equal opportunities for all people. Her life can be chronicled as a series of "firsts": As a leader of organized labor in the 1930s and ’40s, she was the first woman vice president of the Minnesota Culinary Council and the first woman president of Local 665 Hotel and Restaurant Employees Union. She was also the first Black person elected to citywide office in Minneapolis when she won a seat on the library board in 1945. Her biography, </w:t>
      </w:r>
      <w:r w:rsidRPr="00312A12">
        <w:rPr>
          <w:rFonts w:ascii="myriad-pro" w:eastAsia="Times New Roman" w:hAnsi="myriad-pro" w:cs="Arial"/>
          <w:i/>
          <w:iCs/>
          <w:color w:val="333333"/>
          <w:sz w:val="24"/>
          <w:szCs w:val="24"/>
          <w:lang w:val="en"/>
        </w:rPr>
        <w:t>Nellie Stone Johnson: Life of an Activist,</w:t>
      </w:r>
      <w:r w:rsidRPr="00312A12">
        <w:rPr>
          <w:rFonts w:ascii="myriad-pro" w:eastAsia="Times New Roman" w:hAnsi="myriad-pro" w:cs="Arial"/>
          <w:color w:val="333333"/>
          <w:sz w:val="24"/>
          <w:szCs w:val="24"/>
          <w:lang w:val="en"/>
        </w:rPr>
        <w:t xml:space="preserve"> is available for purchase from the scholarship committee.</w:t>
      </w:r>
    </w:p>
    <w:p w:rsidR="00312A12" w:rsidRPr="00312A12" w:rsidRDefault="00312A12" w:rsidP="00312A12">
      <w:pPr>
        <w:spacing w:after="100" w:afterAutospacing="1" w:line="240" w:lineRule="auto"/>
        <w:outlineLvl w:val="1"/>
        <w:rPr>
          <w:rFonts w:ascii="inherit" w:eastAsia="Times New Roman" w:hAnsi="inherit" w:cs="Arial"/>
          <w:color w:val="464A4E"/>
          <w:sz w:val="51"/>
          <w:szCs w:val="51"/>
          <w:lang w:val="en"/>
        </w:rPr>
      </w:pPr>
      <w:r w:rsidRPr="00312A12">
        <w:rPr>
          <w:rFonts w:ascii="inherit" w:eastAsia="Times New Roman" w:hAnsi="inherit" w:cs="Arial"/>
          <w:color w:val="464A4E"/>
          <w:sz w:val="51"/>
          <w:szCs w:val="51"/>
          <w:lang w:val="en"/>
        </w:rPr>
        <w:t>Eligibility</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School affiliation:</w:t>
      </w:r>
      <w:r w:rsidRPr="00312A12">
        <w:rPr>
          <w:rFonts w:ascii="myriad-pro" w:eastAsia="Times New Roman" w:hAnsi="myriad-pro" w:cs="Arial"/>
          <w:color w:val="333333"/>
          <w:sz w:val="24"/>
          <w:szCs w:val="24"/>
          <w:lang w:val="en"/>
        </w:rPr>
        <w:t xml:space="preserve"> The applicant must be currently enrolled in or accepted into a program at a Minnesota State institution.</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Union affiliation:</w:t>
      </w:r>
      <w:r w:rsidRPr="00312A12">
        <w:rPr>
          <w:rFonts w:ascii="myriad-pro" w:eastAsia="Times New Roman" w:hAnsi="myriad-pro" w:cs="Arial"/>
          <w:color w:val="333333"/>
          <w:sz w:val="24"/>
          <w:szCs w:val="24"/>
          <w:lang w:val="en"/>
        </w:rPr>
        <w:t xml:space="preserve"> The applicant must be a union member or the child, grandchild or spouse of a union member.</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Ethnicity:</w:t>
      </w:r>
      <w:r w:rsidRPr="00312A12">
        <w:rPr>
          <w:rFonts w:ascii="myriad-pro" w:eastAsia="Times New Roman" w:hAnsi="myriad-pro" w:cs="Arial"/>
          <w:color w:val="333333"/>
          <w:sz w:val="24"/>
          <w:szCs w:val="24"/>
          <w:lang w:val="en"/>
        </w:rPr>
        <w:t xml:space="preserve"> The applicant must be a racial/ethnic group member as defined by the Minnesota State Diversity and Multiculturalism Office (and for this scholarship) to include Black/African American, Chicano/</w:t>
      </w:r>
      <w:proofErr w:type="gramStart"/>
      <w:r w:rsidRPr="00312A12">
        <w:rPr>
          <w:rFonts w:ascii="myriad-pro" w:eastAsia="Times New Roman" w:hAnsi="myriad-pro" w:cs="Arial"/>
          <w:color w:val="333333"/>
          <w:sz w:val="24"/>
          <w:szCs w:val="24"/>
          <w:lang w:val="en"/>
        </w:rPr>
        <w:t>a or</w:t>
      </w:r>
      <w:proofErr w:type="gramEnd"/>
      <w:r w:rsidRPr="00312A12">
        <w:rPr>
          <w:rFonts w:ascii="myriad-pro" w:eastAsia="Times New Roman" w:hAnsi="myriad-pro" w:cs="Arial"/>
          <w:color w:val="333333"/>
          <w:sz w:val="24"/>
          <w:szCs w:val="24"/>
          <w:lang w:val="en"/>
        </w:rPr>
        <w:t xml:space="preserve"> Latino/a, Asian/Pacific Islander, and American Indian/Native American/Alaskan Native.</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Academic standards:</w:t>
      </w:r>
      <w:r w:rsidRPr="00312A12">
        <w:rPr>
          <w:rFonts w:ascii="myriad-pro" w:eastAsia="Times New Roman" w:hAnsi="myriad-pro" w:cs="Arial"/>
          <w:color w:val="333333"/>
          <w:sz w:val="24"/>
          <w:szCs w:val="24"/>
          <w:lang w:val="en"/>
        </w:rPr>
        <w:t xml:space="preserve"> The applicant must meet academic and admission standards of the institution he/she is attending. Applicants must have at least a 2.0 grade point average for undergraduate students and 3.0 grade point average for graduate students to be eligible to apply for this scholarship.</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Credits required:</w:t>
      </w:r>
      <w:r w:rsidRPr="00312A12">
        <w:rPr>
          <w:rFonts w:ascii="myriad-pro" w:eastAsia="Times New Roman" w:hAnsi="myriad-pro" w:cs="Arial"/>
          <w:color w:val="333333"/>
          <w:sz w:val="24"/>
          <w:szCs w:val="24"/>
          <w:lang w:val="en"/>
        </w:rPr>
        <w:t xml:space="preserve"> Full-time status for undergraduate students is twelve (12) credits or more and graduate students is six (6) credits or more. Part-time status for undergraduate students is 6-11 credits.</w:t>
      </w:r>
    </w:p>
    <w:p w:rsidR="00312A12" w:rsidRPr="00312A12" w:rsidRDefault="00312A12" w:rsidP="00312A12">
      <w:pPr>
        <w:numPr>
          <w:ilvl w:val="0"/>
          <w:numId w:val="1"/>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Awards:</w:t>
      </w:r>
      <w:r w:rsidRPr="00312A12">
        <w:rPr>
          <w:rFonts w:ascii="myriad-pro" w:eastAsia="Times New Roman" w:hAnsi="myriad-pro" w:cs="Arial"/>
          <w:color w:val="333333"/>
          <w:sz w:val="24"/>
          <w:szCs w:val="24"/>
          <w:lang w:val="en"/>
        </w:rPr>
        <w:t xml:space="preserve"> Full-time scholarship recipients will be awarded $1,200 and part-time scholarship recipients will be awarded $500.</w:t>
      </w:r>
    </w:p>
    <w:p w:rsidR="00312A12" w:rsidRPr="00312A12" w:rsidRDefault="00312A12" w:rsidP="00312A12">
      <w:pPr>
        <w:spacing w:after="100" w:afterAutospacing="1" w:line="240" w:lineRule="auto"/>
        <w:outlineLvl w:val="1"/>
        <w:rPr>
          <w:rFonts w:ascii="inherit" w:eastAsia="Times New Roman" w:hAnsi="inherit" w:cs="Arial"/>
          <w:color w:val="464A4E"/>
          <w:sz w:val="51"/>
          <w:szCs w:val="51"/>
          <w:lang w:val="en"/>
        </w:rPr>
      </w:pPr>
      <w:r w:rsidRPr="00312A12">
        <w:rPr>
          <w:rFonts w:ascii="inherit" w:eastAsia="Times New Roman" w:hAnsi="inherit" w:cs="Arial"/>
          <w:color w:val="464A4E"/>
          <w:sz w:val="51"/>
          <w:szCs w:val="51"/>
          <w:lang w:val="en"/>
        </w:rPr>
        <w:lastRenderedPageBreak/>
        <w:t>Application</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Application deadline is June 1. </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Incomplete application packets will not be considered. Complete application packets must be postmarked by June 1.</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For consideration, the application packet must include all of the following items:</w:t>
      </w:r>
    </w:p>
    <w:p w:rsidR="00312A12" w:rsidRPr="00312A12" w:rsidRDefault="00312A12" w:rsidP="00312A12">
      <w:pPr>
        <w:numPr>
          <w:ilvl w:val="0"/>
          <w:numId w:val="2"/>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Completed application form</w:t>
      </w:r>
      <w:r w:rsidRPr="00312A12">
        <w:rPr>
          <w:rFonts w:ascii="myriad-pro" w:eastAsia="Times New Roman" w:hAnsi="myriad-pro" w:cs="Arial"/>
          <w:color w:val="333333"/>
          <w:sz w:val="24"/>
          <w:szCs w:val="24"/>
          <w:lang w:val="en"/>
        </w:rPr>
        <w:t xml:space="preserve"> (will be available online once open for applications)</w:t>
      </w:r>
    </w:p>
    <w:p w:rsidR="00312A12" w:rsidRPr="00312A12" w:rsidRDefault="00312A12" w:rsidP="00312A12">
      <w:pPr>
        <w:numPr>
          <w:ilvl w:val="0"/>
          <w:numId w:val="2"/>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Personal essay:</w:t>
      </w:r>
      <w:r w:rsidRPr="00312A12">
        <w:rPr>
          <w:rFonts w:ascii="myriad-pro" w:eastAsia="Times New Roman" w:hAnsi="myriad-pro" w:cs="Arial"/>
          <w:color w:val="333333"/>
          <w:sz w:val="24"/>
          <w:szCs w:val="24"/>
          <w:lang w:val="en"/>
        </w:rPr>
        <w:t xml:space="preserve"> The applicant must submit a typewritten statement about his/her background, educational goals, career goals and commitment to the causes of human or civil rights. The statement is limited to two typewritten pages, double spaced in an eleven (11) point font.</w:t>
      </w:r>
    </w:p>
    <w:p w:rsidR="00312A12" w:rsidRPr="00312A12" w:rsidRDefault="00312A12" w:rsidP="00312A12">
      <w:pPr>
        <w:numPr>
          <w:ilvl w:val="0"/>
          <w:numId w:val="2"/>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Letters of recommendation:</w:t>
      </w:r>
      <w:r w:rsidRPr="00312A12">
        <w:rPr>
          <w:rFonts w:ascii="myriad-pro" w:eastAsia="Times New Roman" w:hAnsi="myriad-pro" w:cs="Arial"/>
          <w:color w:val="333333"/>
          <w:sz w:val="24"/>
          <w:szCs w:val="24"/>
          <w:lang w:val="en"/>
        </w:rPr>
        <w:t xml:space="preserve"> Two (2) separate letters of recommendation from two (2) different sources, signed and dated, must accompany the application. Letters may come from teachers, community organization or church leaders, or club or group leaders, and should address achievements and accomplishments, community involvement, commitment to pursuing education or commitment to the causes of human and civil rights.</w:t>
      </w:r>
    </w:p>
    <w:p w:rsidR="00312A12" w:rsidRPr="00312A12" w:rsidRDefault="00312A12" w:rsidP="00312A12">
      <w:pPr>
        <w:numPr>
          <w:ilvl w:val="0"/>
          <w:numId w:val="2"/>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Transcript:</w:t>
      </w:r>
      <w:r w:rsidRPr="00312A12">
        <w:rPr>
          <w:rFonts w:ascii="myriad-pro" w:eastAsia="Times New Roman" w:hAnsi="myriad-pro" w:cs="Arial"/>
          <w:color w:val="333333"/>
          <w:sz w:val="24"/>
          <w:szCs w:val="24"/>
          <w:lang w:val="en"/>
        </w:rPr>
        <w:t xml:space="preserve"> High school seniors must submit their most recent high school transcript and a copy of the letter of acceptance from the university or college they will be attending. Students already enrolled in a Minnesota State college or university must submit their most recent transcript.</w:t>
      </w:r>
    </w:p>
    <w:p w:rsidR="00312A12" w:rsidRPr="00312A12" w:rsidRDefault="00312A12" w:rsidP="00312A12">
      <w:pPr>
        <w:numPr>
          <w:ilvl w:val="0"/>
          <w:numId w:val="2"/>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b/>
          <w:bCs/>
          <w:color w:val="333333"/>
          <w:sz w:val="24"/>
          <w:szCs w:val="24"/>
          <w:lang w:val="en"/>
        </w:rPr>
        <w:t>Union verification:</w:t>
      </w:r>
      <w:r w:rsidRPr="00312A12">
        <w:rPr>
          <w:rFonts w:ascii="myriad-pro" w:eastAsia="Times New Roman" w:hAnsi="myriad-pro" w:cs="Arial"/>
          <w:color w:val="333333"/>
          <w:sz w:val="24"/>
          <w:szCs w:val="24"/>
          <w:lang w:val="en"/>
        </w:rPr>
        <w:t xml:space="preserve"> Include either a copy of the current union card or a letter from the union verifying that union membership is in good standing (or union retirement in good standing).</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Mail your application packet to:</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The Nellie Stone Johnson Scholarship Committee</w:t>
      </w:r>
      <w:r w:rsidRPr="00312A12">
        <w:rPr>
          <w:rFonts w:ascii="myriad-pro" w:eastAsia="Times New Roman" w:hAnsi="myriad-pro" w:cs="Arial"/>
          <w:color w:val="333333"/>
          <w:sz w:val="24"/>
          <w:szCs w:val="24"/>
          <w:lang w:val="en"/>
        </w:rPr>
        <w:br/>
        <w:t>P.O. Box 40309</w:t>
      </w:r>
      <w:r w:rsidRPr="00312A12">
        <w:rPr>
          <w:rFonts w:ascii="myriad-pro" w:eastAsia="Times New Roman" w:hAnsi="myriad-pro" w:cs="Arial"/>
          <w:color w:val="333333"/>
          <w:sz w:val="24"/>
          <w:szCs w:val="24"/>
          <w:lang w:val="en"/>
        </w:rPr>
        <w:br/>
        <w:t>Saint Paul, MN 55104</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For more information, call 651-738-1404 or 866-738-5238.</w:t>
      </w:r>
    </w:p>
    <w:p w:rsidR="00312A12" w:rsidRPr="00312A12" w:rsidRDefault="00312A12" w:rsidP="00312A12">
      <w:pPr>
        <w:spacing w:after="100" w:afterAutospacing="1" w:line="240" w:lineRule="auto"/>
        <w:outlineLvl w:val="1"/>
        <w:rPr>
          <w:rFonts w:ascii="inherit" w:eastAsia="Times New Roman" w:hAnsi="inherit" w:cs="Arial"/>
          <w:color w:val="464A4E"/>
          <w:sz w:val="51"/>
          <w:szCs w:val="51"/>
          <w:lang w:val="en"/>
        </w:rPr>
      </w:pPr>
      <w:r w:rsidRPr="00312A12">
        <w:rPr>
          <w:rFonts w:ascii="inherit" w:eastAsia="Times New Roman" w:hAnsi="inherit" w:cs="Arial"/>
          <w:color w:val="464A4E"/>
          <w:sz w:val="51"/>
          <w:szCs w:val="51"/>
          <w:lang w:val="en"/>
        </w:rPr>
        <w:t>Criteria</w:t>
      </w:r>
    </w:p>
    <w:p w:rsidR="00312A12" w:rsidRPr="00312A12" w:rsidRDefault="00312A12" w:rsidP="00312A12">
      <w:pPr>
        <w:spacing w:after="100" w:afterAutospacing="1" w:line="240" w:lineRule="auto"/>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Scholarships are awarded based on:</w:t>
      </w:r>
    </w:p>
    <w:p w:rsidR="00312A12" w:rsidRPr="00312A12" w:rsidRDefault="00312A12" w:rsidP="00312A12">
      <w:pPr>
        <w:numPr>
          <w:ilvl w:val="0"/>
          <w:numId w:val="3"/>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Personal essay</w:t>
      </w:r>
    </w:p>
    <w:p w:rsidR="00312A12" w:rsidRPr="00312A12" w:rsidRDefault="00312A12" w:rsidP="00312A12">
      <w:pPr>
        <w:numPr>
          <w:ilvl w:val="0"/>
          <w:numId w:val="3"/>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Commitment to human or civil rights</w:t>
      </w:r>
    </w:p>
    <w:p w:rsidR="00312A12" w:rsidRPr="00312A12" w:rsidRDefault="00312A12" w:rsidP="00312A12">
      <w:pPr>
        <w:numPr>
          <w:ilvl w:val="0"/>
          <w:numId w:val="3"/>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Extracurricular activities/volunteer activities/community involvement</w:t>
      </w:r>
    </w:p>
    <w:p w:rsidR="00312A12" w:rsidRPr="00312A12" w:rsidRDefault="00312A12" w:rsidP="00312A12">
      <w:pPr>
        <w:numPr>
          <w:ilvl w:val="0"/>
          <w:numId w:val="3"/>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Academic standing</w:t>
      </w:r>
    </w:p>
    <w:p w:rsidR="00312A12" w:rsidRPr="00312A12" w:rsidRDefault="00312A12" w:rsidP="00312A12">
      <w:pPr>
        <w:numPr>
          <w:ilvl w:val="0"/>
          <w:numId w:val="3"/>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Union verification</w:t>
      </w:r>
    </w:p>
    <w:p w:rsidR="00312A12" w:rsidRPr="00312A12" w:rsidRDefault="00312A12" w:rsidP="00312A12">
      <w:pPr>
        <w:spacing w:after="100" w:afterAutospacing="1" w:line="240" w:lineRule="auto"/>
        <w:outlineLvl w:val="1"/>
        <w:rPr>
          <w:rFonts w:ascii="inherit" w:eastAsia="Times New Roman" w:hAnsi="inherit" w:cs="Arial"/>
          <w:color w:val="464A4E"/>
          <w:sz w:val="51"/>
          <w:szCs w:val="51"/>
          <w:lang w:val="en"/>
        </w:rPr>
      </w:pPr>
      <w:r w:rsidRPr="00312A12">
        <w:rPr>
          <w:rFonts w:ascii="inherit" w:eastAsia="Times New Roman" w:hAnsi="inherit" w:cs="Arial"/>
          <w:color w:val="464A4E"/>
          <w:sz w:val="51"/>
          <w:szCs w:val="51"/>
          <w:lang w:val="en"/>
        </w:rPr>
        <w:t>Scholarship renewal</w:t>
      </w:r>
    </w:p>
    <w:p w:rsidR="00312A12" w:rsidRPr="00312A12" w:rsidRDefault="00312A12" w:rsidP="00312A12">
      <w:pPr>
        <w:numPr>
          <w:ilvl w:val="0"/>
          <w:numId w:val="4"/>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Students may apply for this scholarship each year. Students are eligible for consideration for up to two years for a community or technical college program, up to four years of undergraduate work at a university (including two years in a community or technical college), and up to two years of graduate work. Previous scholarship recipients are NOT guaranteed automatic scholarship renewal but are welcome to reapply.</w:t>
      </w:r>
    </w:p>
    <w:p w:rsidR="00312A12" w:rsidRPr="00312A12" w:rsidRDefault="00312A12" w:rsidP="00312A12">
      <w:pPr>
        <w:numPr>
          <w:ilvl w:val="0"/>
          <w:numId w:val="4"/>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Students must complete the application process in its entirety every year by submitting a complete application packet by the deadline in order to be considered.</w:t>
      </w:r>
    </w:p>
    <w:p w:rsidR="00312A12" w:rsidRPr="00312A12" w:rsidRDefault="00312A12" w:rsidP="00312A12">
      <w:pPr>
        <w:numPr>
          <w:ilvl w:val="0"/>
          <w:numId w:val="4"/>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In addition to the required essay criteria, personal essays should include how the scholarship has impacted their education.</w:t>
      </w:r>
    </w:p>
    <w:p w:rsidR="00312A12" w:rsidRPr="00312A12" w:rsidRDefault="00312A12" w:rsidP="00312A12">
      <w:pPr>
        <w:numPr>
          <w:ilvl w:val="0"/>
          <w:numId w:val="4"/>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Letters of recommendation must be current, dated and signed.</w:t>
      </w:r>
    </w:p>
    <w:p w:rsidR="00312A12" w:rsidRPr="00312A12" w:rsidRDefault="00312A12" w:rsidP="00312A12">
      <w:pPr>
        <w:numPr>
          <w:ilvl w:val="0"/>
          <w:numId w:val="4"/>
        </w:numPr>
        <w:spacing w:before="100" w:beforeAutospacing="1" w:after="100" w:afterAutospacing="1" w:line="240" w:lineRule="auto"/>
        <w:ind w:left="270"/>
        <w:rPr>
          <w:rFonts w:ascii="myriad-pro" w:eastAsia="Times New Roman" w:hAnsi="myriad-pro" w:cs="Arial"/>
          <w:color w:val="333333"/>
          <w:sz w:val="24"/>
          <w:szCs w:val="24"/>
          <w:lang w:val="en"/>
        </w:rPr>
      </w:pPr>
      <w:r w:rsidRPr="00312A12">
        <w:rPr>
          <w:rFonts w:ascii="myriad-pro" w:eastAsia="Times New Roman" w:hAnsi="myriad-pro" w:cs="Arial"/>
          <w:color w:val="333333"/>
          <w:sz w:val="24"/>
          <w:szCs w:val="24"/>
          <w:lang w:val="en"/>
        </w:rPr>
        <w:t>Students must continue to meet all the qualifications for the scholarship in order to receive consideration for an additional scholarship award.</w:t>
      </w:r>
    </w:p>
    <w:p w:rsidR="008F659D" w:rsidRDefault="008F659D"/>
    <w:sectPr w:rsidR="008F6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yriad-pr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A2B50"/>
    <w:multiLevelType w:val="multilevel"/>
    <w:tmpl w:val="B53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92D39"/>
    <w:multiLevelType w:val="multilevel"/>
    <w:tmpl w:val="403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85647"/>
    <w:multiLevelType w:val="multilevel"/>
    <w:tmpl w:val="66BE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E2A83"/>
    <w:multiLevelType w:val="multilevel"/>
    <w:tmpl w:val="33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12"/>
    <w:rsid w:val="00063AB2"/>
    <w:rsid w:val="00312A12"/>
    <w:rsid w:val="008F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BD175-FF98-44B6-A3BE-469F8A51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20226">
      <w:bodyDiv w:val="1"/>
      <w:marLeft w:val="0"/>
      <w:marRight w:val="0"/>
      <w:marTop w:val="0"/>
      <w:marBottom w:val="0"/>
      <w:divBdr>
        <w:top w:val="none" w:sz="0" w:space="0" w:color="auto"/>
        <w:left w:val="none" w:sz="0" w:space="0" w:color="auto"/>
        <w:bottom w:val="none" w:sz="0" w:space="0" w:color="auto"/>
        <w:right w:val="none" w:sz="0" w:space="0" w:color="auto"/>
      </w:divBdr>
      <w:divsChild>
        <w:div w:id="1857423810">
          <w:marLeft w:val="0"/>
          <w:marRight w:val="0"/>
          <w:marTop w:val="0"/>
          <w:marBottom w:val="0"/>
          <w:divBdr>
            <w:top w:val="none" w:sz="0" w:space="0" w:color="auto"/>
            <w:left w:val="none" w:sz="0" w:space="0" w:color="auto"/>
            <w:bottom w:val="none" w:sz="0" w:space="0" w:color="auto"/>
            <w:right w:val="none" w:sz="0" w:space="0" w:color="auto"/>
          </w:divBdr>
          <w:divsChild>
            <w:div w:id="430902853">
              <w:marLeft w:val="0"/>
              <w:marRight w:val="0"/>
              <w:marTop w:val="0"/>
              <w:marBottom w:val="0"/>
              <w:divBdr>
                <w:top w:val="none" w:sz="0" w:space="0" w:color="auto"/>
                <w:left w:val="none" w:sz="0" w:space="0" w:color="auto"/>
                <w:bottom w:val="none" w:sz="0" w:space="0" w:color="auto"/>
                <w:right w:val="none" w:sz="0" w:space="0" w:color="auto"/>
              </w:divBdr>
              <w:divsChild>
                <w:div w:id="1541743506">
                  <w:marLeft w:val="-225"/>
                  <w:marRight w:val="-225"/>
                  <w:marTop w:val="0"/>
                  <w:marBottom w:val="0"/>
                  <w:divBdr>
                    <w:top w:val="none" w:sz="0" w:space="0" w:color="auto"/>
                    <w:left w:val="none" w:sz="0" w:space="0" w:color="auto"/>
                    <w:bottom w:val="none" w:sz="0" w:space="0" w:color="auto"/>
                    <w:right w:val="none" w:sz="0" w:space="0" w:color="auto"/>
                  </w:divBdr>
                  <w:divsChild>
                    <w:div w:id="1765957114">
                      <w:marLeft w:val="0"/>
                      <w:marRight w:val="0"/>
                      <w:marTop w:val="0"/>
                      <w:marBottom w:val="0"/>
                      <w:divBdr>
                        <w:top w:val="none" w:sz="0" w:space="0" w:color="auto"/>
                        <w:left w:val="none" w:sz="0" w:space="0" w:color="auto"/>
                        <w:bottom w:val="none" w:sz="0" w:space="0" w:color="auto"/>
                        <w:right w:val="none" w:sz="0" w:space="0" w:color="auto"/>
                      </w:divBdr>
                      <w:divsChild>
                        <w:div w:id="1758553922">
                          <w:marLeft w:val="0"/>
                          <w:marRight w:val="0"/>
                          <w:marTop w:val="0"/>
                          <w:marBottom w:val="0"/>
                          <w:divBdr>
                            <w:top w:val="none" w:sz="0" w:space="0" w:color="auto"/>
                            <w:left w:val="none" w:sz="0" w:space="0" w:color="auto"/>
                            <w:bottom w:val="none" w:sz="0" w:space="0" w:color="auto"/>
                            <w:right w:val="none" w:sz="0" w:space="0" w:color="auto"/>
                          </w:divBdr>
                          <w:divsChild>
                            <w:div w:id="2049992929">
                              <w:marLeft w:val="0"/>
                              <w:marRight w:val="0"/>
                              <w:marTop w:val="0"/>
                              <w:marBottom w:val="0"/>
                              <w:divBdr>
                                <w:top w:val="none" w:sz="0" w:space="0" w:color="auto"/>
                                <w:left w:val="none" w:sz="0" w:space="0" w:color="auto"/>
                                <w:bottom w:val="none" w:sz="0" w:space="0" w:color="auto"/>
                                <w:right w:val="none" w:sz="0" w:space="0" w:color="auto"/>
                              </w:divBdr>
                            </w:div>
                            <w:div w:id="611477424">
                              <w:marLeft w:val="-225"/>
                              <w:marRight w:val="-225"/>
                              <w:marTop w:val="0"/>
                              <w:marBottom w:val="0"/>
                              <w:divBdr>
                                <w:top w:val="none" w:sz="0" w:space="0" w:color="auto"/>
                                <w:left w:val="none" w:sz="0" w:space="0" w:color="auto"/>
                                <w:bottom w:val="none" w:sz="0" w:space="0" w:color="auto"/>
                                <w:right w:val="none" w:sz="0" w:space="0" w:color="auto"/>
                              </w:divBdr>
                              <w:divsChild>
                                <w:div w:id="5297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Nellie Stone Johnson Scholarship</vt:lpstr>
      <vt:lpstr>    Labor and education: Partners for the future</vt:lpstr>
      <vt:lpstr>    Eligibility</vt:lpstr>
      <vt:lpstr>    Application</vt:lpstr>
      <vt:lpstr>    Criteria</vt:lpstr>
      <vt:lpstr>    Scholarship renewal</vt:lpstr>
    </vt:vector>
  </TitlesOfParts>
  <Company>Metropolitan State University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Hatcher</dc:creator>
  <cp:keywords/>
  <dc:description/>
  <cp:lastModifiedBy>Lee Vang</cp:lastModifiedBy>
  <cp:revision>2</cp:revision>
  <dcterms:created xsi:type="dcterms:W3CDTF">2019-03-06T18:25:00Z</dcterms:created>
  <dcterms:modified xsi:type="dcterms:W3CDTF">2019-03-06T18:25:00Z</dcterms:modified>
</cp:coreProperties>
</file>